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highlight w:val="white"/>
          <w:u w:val="single"/>
          <w:rtl w:val="0"/>
        </w:rPr>
        <w:t xml:space="preserve">Excerpts from the Declaration of the </w:t>
      </w:r>
    </w:p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highlight w:val="white"/>
          <w:u w:val="single"/>
          <w:rtl w:val="0"/>
        </w:rPr>
        <w:t xml:space="preserve">Rights of Man and Citizen</w:t>
      </w:r>
    </w:p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highlight w:val="white"/>
          <w:rtl w:val="0"/>
        </w:rPr>
        <w:t xml:space="preserve"> (1789)</w:t>
      </w:r>
    </w:p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highlight w:val="white"/>
          <w:rtl w:val="0"/>
        </w:rPr>
        <w:t xml:space="preserve">Approved by the National Assembly of France, </w:t>
      </w:r>
    </w:p>
    <w:p w:rsidR="00000000" w:rsidDel="00000000" w:rsidP="00000000" w:rsidRDefault="00000000" w:rsidRPr="00000000">
      <w:pPr>
        <w:contextualSpacing w:val="0"/>
        <w:jc w:val="center"/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highlight w:val="white"/>
          <w:rtl w:val="0"/>
        </w:rPr>
        <w:t xml:space="preserve">August 26, 1789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240" w:lineRule="auto"/>
        <w:ind w:left="-90" w:firstLine="0"/>
        <w:contextualSpacing w:val="0"/>
        <w:jc w:val="center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240" w:lineRule="auto"/>
        <w:ind w:left="-90" w:firstLine="0"/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240" w:lineRule="auto"/>
        <w:ind w:left="-90" w:firstLine="0"/>
        <w:contextualSpacing w:val="0"/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Directions:  Remember that it is important to be an “active reader.”  As you read, </w:t>
      </w:r>
      <w:r w:rsidDel="00000000" w:rsidR="00000000" w:rsidRPr="00000000">
        <w:rPr>
          <w:rFonts w:ascii="Cambria" w:cs="Cambria" w:eastAsia="Cambria" w:hAnsi="Cambria"/>
          <w:i w:val="1"/>
          <w:highlight w:val="yellow"/>
          <w:u w:val="single"/>
          <w:rtl w:val="0"/>
        </w:rPr>
        <w:t xml:space="preserve">highlight</w:t>
      </w:r>
      <w:r w:rsidDel="00000000" w:rsidR="00000000" w:rsidRPr="00000000">
        <w:rPr>
          <w:rFonts w:ascii="Cambria" w:cs="Cambria" w:eastAsia="Cambria" w:hAnsi="Cambria"/>
          <w:i w:val="1"/>
          <w:u w:val="single"/>
          <w:rtl w:val="0"/>
        </w:rPr>
        <w:t xml:space="preserve"> any moments of difficulty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. </w:t>
      </w:r>
    </w:p>
    <w:p w:rsidR="00000000" w:rsidDel="00000000" w:rsidP="00000000" w:rsidRDefault="00000000" w:rsidRPr="00000000">
      <w:pPr>
        <w:spacing w:line="240" w:lineRule="auto"/>
        <w:ind w:left="-90" w:firstLine="0"/>
        <w:contextualSpacing w:val="0"/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Moments of Difficulty:  </w:t>
      </w:r>
      <w:r w:rsidDel="00000000" w:rsidR="00000000" w:rsidRPr="00000000">
        <w:rPr>
          <w:rFonts w:ascii="Cambria" w:cs="Cambria" w:eastAsia="Cambria" w:hAnsi="Cambria"/>
          <w:i w:val="1"/>
          <w:shd w:fill="ff9900" w:val="clear"/>
          <w:rtl w:val="0"/>
        </w:rPr>
        <w:t xml:space="preserve">Vocabulary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i w:val="1"/>
          <w:highlight w:val="yellow"/>
          <w:rtl w:val="0"/>
        </w:rPr>
        <w:t xml:space="preserve">Background Knowledge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, </w:t>
      </w:r>
      <w:r w:rsidDel="00000000" w:rsidR="00000000" w:rsidRPr="00000000">
        <w:rPr>
          <w:rFonts w:ascii="Cambria" w:cs="Cambria" w:eastAsia="Cambria" w:hAnsi="Cambria"/>
          <w:i w:val="1"/>
          <w:highlight w:val="green"/>
          <w:rtl w:val="0"/>
        </w:rPr>
        <w:t xml:space="preserve">Syntax</w:t>
      </w: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 or </w:t>
      </w:r>
      <w:r w:rsidDel="00000000" w:rsidR="00000000" w:rsidRPr="00000000">
        <w:rPr>
          <w:rFonts w:ascii="Cambria" w:cs="Cambria" w:eastAsia="Cambria" w:hAnsi="Cambria"/>
          <w:i w:val="1"/>
          <w:highlight w:val="cyan"/>
          <w:rtl w:val="0"/>
        </w:rPr>
        <w:t xml:space="preserve">Other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spacing w:line="240" w:lineRule="auto"/>
        <w:ind w:left="-90" w:firstLine="0"/>
        <w:contextualSpacing w:val="0"/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Use the “notes” column to record: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240" w:lineRule="auto"/>
        <w:ind w:left="-90" w:firstLine="0"/>
        <w:contextualSpacing w:val="1"/>
        <w:rPr>
          <w:i w:val="1"/>
        </w:rPr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any questions you have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240" w:lineRule="auto"/>
        <w:ind w:left="-90" w:firstLine="0"/>
        <w:contextualSpacing w:val="1"/>
        <w:rPr>
          <w:i w:val="1"/>
        </w:rPr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comments about the text</w:t>
      </w:r>
    </w:p>
    <w:p w:rsidR="00000000" w:rsidDel="00000000" w:rsidP="00000000" w:rsidRDefault="00000000" w:rsidRPr="00000000">
      <w:pPr>
        <w:numPr>
          <w:ilvl w:val="0"/>
          <w:numId w:val="1"/>
        </w:numPr>
        <w:spacing w:line="240" w:lineRule="auto"/>
        <w:ind w:left="-90" w:firstLine="0"/>
        <w:contextualSpacing w:val="1"/>
        <w:rPr>
          <w:i w:val="1"/>
        </w:rPr>
      </w:pPr>
      <w:r w:rsidDel="00000000" w:rsidR="00000000" w:rsidRPr="00000000">
        <w:rPr>
          <w:rFonts w:ascii="Cambria" w:cs="Cambria" w:eastAsia="Cambria" w:hAnsi="Cambria"/>
          <w:i w:val="1"/>
          <w:rtl w:val="0"/>
        </w:rPr>
        <w:t xml:space="preserve">connections to other texts or prior learning.</w:t>
      </w:r>
      <w:r w:rsidDel="00000000" w:rsidR="00000000" w:rsidRPr="00000000">
        <w:rPr>
          <w:rtl w:val="0"/>
        </w:rPr>
      </w:r>
    </w:p>
    <w:tbl>
      <w:tblPr>
        <w:tblStyle w:val="Table1"/>
        <w:bidi w:val="0"/>
        <w:tblW w:w="13200.0" w:type="dxa"/>
        <w:jc w:val="left"/>
        <w:tblInd w:w="-330.0" w:type="dxa"/>
        <w:tblBorders>
          <w:top w:color="000000" w:space="0" w:sz="6" w:val="single"/>
          <w:left w:color="000000" w:space="0" w:sz="6" w:val="single"/>
          <w:bottom w:color="000000" w:space="0" w:sz="6" w:val="single"/>
          <w:right w:color="000000" w:space="0" w:sz="6" w:val="single"/>
          <w:insideH w:color="000000" w:space="0" w:sz="6" w:val="single"/>
          <w:insideV w:color="000000" w:space="0" w:sz="6" w:val="single"/>
        </w:tblBorders>
        <w:tblLayout w:type="fixed"/>
        <w:tblLook w:val="0600"/>
      </w:tblPr>
      <w:tblGrid>
        <w:gridCol w:w="6690"/>
        <w:gridCol w:w="6510"/>
        <w:tblGridChange w:id="0">
          <w:tblGrid>
            <w:gridCol w:w="6690"/>
            <w:gridCol w:w="6510"/>
          </w:tblGrid>
        </w:tblGridChange>
      </w:tblGrid>
      <w:tr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contextualSpacing w:val="0"/>
              <w:jc w:val="center"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highlight w:val="white"/>
                <w:rtl w:val="0"/>
              </w:rPr>
              <w:t xml:space="preserve">Text</w:t>
            </w:r>
          </w:p>
          <w:p w:rsidR="00000000" w:rsidDel="00000000" w:rsidP="00000000" w:rsidRDefault="00000000" w:rsidRPr="00000000">
            <w:pPr>
              <w:contextualSpacing w:val="0"/>
              <w:jc w:val="center"/>
              <w:rPr/>
            </w:pPr>
            <w:r w:rsidDel="00000000" w:rsidR="00000000" w:rsidRPr="00000000">
              <w:rPr>
                <w:rFonts w:ascii="Times New Roman" w:cs="Times New Roman" w:eastAsia="Times New Roman" w:hAnsi="Times New Roman"/>
                <w:highlight w:val="white"/>
                <w:rtl w:val="0"/>
              </w:rPr>
              <w:t xml:space="preserve">(1st and 2nd Read)</w:t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contextualSpacing w:val="0"/>
              <w:jc w:val="center"/>
            </w:pPr>
            <w:r w:rsidDel="00000000" w:rsidR="00000000" w:rsidRPr="00000000">
              <w:rPr>
                <w:rFonts w:ascii="Times New Roman" w:cs="Times New Roman" w:eastAsia="Times New Roman" w:hAnsi="Times New Roman"/>
                <w:b w:val="1"/>
                <w:highlight w:val="white"/>
                <w:rtl w:val="0"/>
              </w:rPr>
              <w:t xml:space="preserve">Summaphrase</w:t>
            </w:r>
          </w:p>
          <w:p w:rsidR="00000000" w:rsidDel="00000000" w:rsidP="00000000" w:rsidRDefault="00000000" w:rsidRPr="00000000">
            <w:pPr>
              <w:contextualSpacing w:val="0"/>
              <w:jc w:val="center"/>
            </w:pPr>
            <w:r w:rsidDel="00000000" w:rsidR="00000000" w:rsidRPr="00000000">
              <w:rPr>
                <w:rFonts w:ascii="Times New Roman" w:cs="Times New Roman" w:eastAsia="Times New Roman" w:hAnsi="Times New Roman"/>
                <w:highlight w:val="white"/>
                <w:rtl w:val="0"/>
              </w:rPr>
              <w:t xml:space="preserve">(3rd Read)</w:t>
            </w:r>
          </w:p>
        </w:tc>
      </w:tr>
      <w:tr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b w:val="1"/>
                <w:sz w:val="20"/>
                <w:szCs w:val="20"/>
                <w:highlight w:val="white"/>
                <w:rtl w:val="0"/>
              </w:rPr>
              <w:t xml:space="preserve">Preamble: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The representatives of the French people, organized as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a National Assembly, believing that the ignorance,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neglect, or contempt of the rights of man are the sole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cause of public calamities and of the corruption of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governments, have resolved to set forth in a solemn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declaration the natural, unalienable, and sacred rights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of man […]. Therefore the National Assembly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recognizes and proclaims, in the presence and under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the auspices of the Supreme Being, the following </w:t>
            </w:r>
          </w:p>
          <w:p w:rsidR="00000000" w:rsidDel="00000000" w:rsidP="00000000" w:rsidRDefault="00000000" w:rsidRPr="00000000">
            <w:pPr>
              <w:contextualSpacing w:val="0"/>
              <w:rPr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rights of man and of the citizen: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spacing w:line="36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left w:color="000000" w:space="0" w:sz="8" w:val="single"/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Articles: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1. Men are born and remain free and equal in rights.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Social distinctions may be founded only upon the </w:t>
            </w:r>
          </w:p>
          <w:p w:rsidR="00000000" w:rsidDel="00000000" w:rsidP="00000000" w:rsidRDefault="00000000" w:rsidRPr="00000000">
            <w:pPr>
              <w:contextualSpacing w:val="0"/>
              <w:rPr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general good.</w:t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spacing w:line="36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2. The purpose of all political association is the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preservation of the natural and imprescriptible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rights of man. These rights are liberty, property, </w:t>
            </w:r>
          </w:p>
          <w:p w:rsidR="00000000" w:rsidDel="00000000" w:rsidP="00000000" w:rsidRDefault="00000000" w:rsidRPr="00000000">
            <w:pPr>
              <w:contextualSpacing w:val="0"/>
              <w:rPr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security, and resistance to oppression. […]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spacing w:line="36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4. Liberty consists in the freedom to do everything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which injures no one else; hence the exercise of the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natural rights of each man has no limits except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those which assure to the other members of the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society the enjoyment of the same rights. These </w:t>
            </w:r>
          </w:p>
          <w:p w:rsidR="00000000" w:rsidDel="00000000" w:rsidP="00000000" w:rsidRDefault="00000000" w:rsidRPr="00000000">
            <w:pPr>
              <w:contextualSpacing w:val="0"/>
              <w:rPr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limits can only be determined by law. […]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spacing w:line="36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6. Law is the expression of the general will. Every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citizen has a right to participate personally, or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through his representative, in its foundation. It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must be the same for all, whether it protects or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punishes. All citizens, being equal in the eyes of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the law, are equally eligible to all honors, and to all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public positions and occupations, according to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their abilities, and without distinction except that </w:t>
            </w:r>
          </w:p>
          <w:p w:rsidR="00000000" w:rsidDel="00000000" w:rsidP="00000000" w:rsidRDefault="00000000" w:rsidRPr="00000000">
            <w:pPr>
              <w:contextualSpacing w:val="0"/>
              <w:rPr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of their virtues and talents.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spacing w:line="36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7. No person shall be accused, arrested, or imprisoned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except in the cases and according to the forms </w:t>
            </w:r>
          </w:p>
          <w:p w:rsidR="00000000" w:rsidDel="00000000" w:rsidP="00000000" w:rsidRDefault="00000000" w:rsidRPr="00000000">
            <w:pPr>
              <w:contextualSpacing w:val="0"/>
              <w:rPr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prescribed by law. […]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spacing w:line="36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11. The free communication of ideas and opinions is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one of the most precious of the rights of man.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Every citizen may, accordingly, speak, write, and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print with freedom, but shall be responsible for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such abuses of this freedom as shall be defined by </w:t>
            </w:r>
          </w:p>
          <w:p w:rsidR="00000000" w:rsidDel="00000000" w:rsidP="00000000" w:rsidRDefault="00000000" w:rsidRPr="00000000">
            <w:pPr>
              <w:contextualSpacing w:val="0"/>
              <w:rPr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law. […]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spacing w:line="36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16. A society in which the observance of the law is not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assured, nor the separation of powers defined, has </w:t>
            </w:r>
          </w:p>
          <w:p w:rsidR="00000000" w:rsidDel="00000000" w:rsidP="00000000" w:rsidRDefault="00000000" w:rsidRPr="00000000">
            <w:pPr>
              <w:contextualSpacing w:val="0"/>
            </w:pPr>
            <w:r w:rsidDel="00000000" w:rsidR="00000000" w:rsidRPr="00000000">
              <w:rPr>
                <w:rFonts w:ascii="Verdana" w:cs="Verdana" w:eastAsia="Verdana" w:hAnsi="Verdana"/>
                <w:sz w:val="20"/>
                <w:szCs w:val="20"/>
                <w:highlight w:val="white"/>
                <w:rtl w:val="0"/>
              </w:rPr>
              <w:t xml:space="preserve">no constitution at all. […]</w:t>
            </w:r>
          </w:p>
        </w:tc>
        <w:tc>
          <w:tcPr>
            <w:tcBorders>
              <w:bottom w:color="000000" w:space="0" w:sz="8" w:val="single"/>
              <w:right w:color="000000" w:space="0" w:sz="8" w:val="single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>
            <w:pPr>
              <w:spacing w:line="360" w:lineRule="auto"/>
              <w:contextualSpacing w:val="0"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>
      <w:pPr>
        <w:contextualSpacing w:val="0"/>
      </w:pPr>
      <w:r w:rsidDel="00000000" w:rsidR="00000000" w:rsidRPr="00000000">
        <w:rPr>
          <w:rtl w:val="0"/>
        </w:rPr>
      </w:r>
    </w:p>
    <w:sectPr>
      <w:pgSz w:h="12240" w:w="15840"/>
      <w:pgMar w:bottom="720" w:top="720" w:left="1440" w:right="144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Arial"/>
  <w:font w:name="Trebuchet MS"/>
  <w:font w:name="Verdana"/>
  <w:font w:name="Cambria"/>
  <w:font w:name="Times New Roman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abstractNum w:abstractNumId="1">
    <w:lvl w:ilvl="0">
      <w:start w:val="1"/>
      <w:numFmt w:val="bullet"/>
      <w:lvlText w:val="-"/>
      <w:lvlJc w:val="left"/>
      <w:pPr>
        <w:ind w:left="720" w:firstLine="360"/>
      </w:pPr>
      <w:rPr>
        <w:rFonts w:ascii="Arial" w:cs="Arial" w:eastAsia="Arial" w:hAnsi="Arial"/>
      </w:rPr>
    </w:lvl>
    <w:lvl w:ilvl="1">
      <w:start w:val="1"/>
      <w:numFmt w:val="bullet"/>
      <w:lvlText w:val="o"/>
      <w:lvlJc w:val="left"/>
      <w:pPr>
        <w:ind w:left="1440" w:firstLine="1080"/>
      </w:pPr>
      <w:rPr>
        <w:rFonts w:ascii="Arial" w:cs="Arial" w:eastAsia="Arial" w:hAnsi="Arial"/>
      </w:rPr>
    </w:lvl>
    <w:lvl w:ilvl="2">
      <w:start w:val="1"/>
      <w:numFmt w:val="bullet"/>
      <w:lvlText w:val="▪"/>
      <w:lvlJc w:val="left"/>
      <w:pPr>
        <w:ind w:left="2160" w:firstLine="1800"/>
      </w:pPr>
      <w:rPr>
        <w:rFonts w:ascii="Arial" w:cs="Arial" w:eastAsia="Arial" w:hAnsi="Arial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rFonts w:ascii="Arial" w:cs="Arial" w:eastAsia="Arial" w:hAnsi="Arial"/>
      </w:rPr>
    </w:lvl>
    <w:lvl w:ilvl="4">
      <w:start w:val="1"/>
      <w:numFmt w:val="bullet"/>
      <w:lvlText w:val="o"/>
      <w:lvlJc w:val="left"/>
      <w:pPr>
        <w:ind w:left="3600" w:firstLine="3240"/>
      </w:pPr>
      <w:rPr>
        <w:rFonts w:ascii="Arial" w:cs="Arial" w:eastAsia="Arial" w:hAnsi="Arial"/>
      </w:rPr>
    </w:lvl>
    <w:lvl w:ilvl="5">
      <w:start w:val="1"/>
      <w:numFmt w:val="bullet"/>
      <w:lvlText w:val="▪"/>
      <w:lvlJc w:val="left"/>
      <w:pPr>
        <w:ind w:left="4320" w:firstLine="3960"/>
      </w:pPr>
      <w:rPr>
        <w:rFonts w:ascii="Arial" w:cs="Arial" w:eastAsia="Arial" w:hAnsi="Arial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rFonts w:ascii="Arial" w:cs="Arial" w:eastAsia="Arial" w:hAnsi="Arial"/>
      </w:rPr>
    </w:lvl>
    <w:lvl w:ilvl="7">
      <w:start w:val="1"/>
      <w:numFmt w:val="bullet"/>
      <w:lvlText w:val="o"/>
      <w:lvlJc w:val="left"/>
      <w:pPr>
        <w:ind w:left="5760" w:firstLine="5400"/>
      </w:pPr>
      <w:rPr>
        <w:rFonts w:ascii="Arial" w:cs="Arial" w:eastAsia="Arial" w:hAnsi="Arial"/>
      </w:rPr>
    </w:lvl>
    <w:lvl w:ilvl="8">
      <w:start w:val="1"/>
      <w:numFmt w:val="bullet"/>
      <w:lvlText w:val="▪"/>
      <w:lvlJc w:val="left"/>
      <w:pPr>
        <w:ind w:left="6480" w:firstLine="6120"/>
      </w:pPr>
      <w:rPr>
        <w:rFonts w:ascii="Arial" w:cs="Arial" w:eastAsia="Arial" w:hAnsi="Arial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ascii="Arial" w:cs="Arial" w:eastAsia="Arial" w:hAnsi="Arial"/>
        <w:b w:val="0"/>
        <w:i w:val="0"/>
        <w:smallCaps w:val="0"/>
        <w:strike w:val="0"/>
        <w:color w:val="000000"/>
        <w:sz w:val="22"/>
        <w:szCs w:val="22"/>
        <w:u w:val="none"/>
        <w:vertAlign w:val="baseline"/>
      </w:rPr>
    </w:rPrDefault>
    <w:pPrDefault>
      <w:pPr>
        <w:keepNext w:val="0"/>
        <w:keepLines w:val="0"/>
        <w:widowControl w:val="1"/>
        <w:spacing w:after="0" w:before="0" w:line="276" w:lineRule="auto"/>
        <w:ind w:left="0" w:right="0" w:firstLine="0"/>
        <w:jc w:val="left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200" w:lineRule="auto"/>
      <w:contextualSpacing w:val="1"/>
    </w:pPr>
    <w:rPr>
      <w:rFonts w:ascii="Trebuchet MS" w:cs="Trebuchet MS" w:eastAsia="Trebuchet MS" w:hAnsi="Trebuchet MS"/>
      <w:sz w:val="32"/>
      <w:szCs w:val="32"/>
    </w:rPr>
  </w:style>
  <w:style w:type="paragraph" w:styleId="Heading2">
    <w:name w:val="heading 2"/>
    <w:basedOn w:val="Normal"/>
    <w:next w:val="Normal"/>
    <w:pPr>
      <w:keepNext w:val="1"/>
      <w:keepLines w:val="1"/>
      <w:spacing w:after="0" w:before="200" w:lineRule="auto"/>
      <w:contextualSpacing w:val="1"/>
    </w:pPr>
    <w:rPr>
      <w:rFonts w:ascii="Trebuchet MS" w:cs="Trebuchet MS" w:eastAsia="Trebuchet MS" w:hAnsi="Trebuchet MS"/>
      <w:b w:val="1"/>
      <w:sz w:val="26"/>
      <w:szCs w:val="26"/>
    </w:rPr>
  </w:style>
  <w:style w:type="paragraph" w:styleId="Heading3">
    <w:name w:val="heading 3"/>
    <w:basedOn w:val="Normal"/>
    <w:next w:val="Normal"/>
    <w:pPr>
      <w:keepNext w:val="1"/>
      <w:keepLines w:val="1"/>
      <w:spacing w:after="0" w:before="160" w:lineRule="auto"/>
      <w:contextualSpacing w:val="1"/>
    </w:pPr>
    <w:rPr>
      <w:rFonts w:ascii="Trebuchet MS" w:cs="Trebuchet MS" w:eastAsia="Trebuchet MS" w:hAnsi="Trebuchet MS"/>
      <w:b w:val="1"/>
      <w:color w:val="666666"/>
      <w:sz w:val="24"/>
      <w:szCs w:val="24"/>
    </w:rPr>
  </w:style>
  <w:style w:type="paragraph" w:styleId="Heading4">
    <w:name w:val="heading 4"/>
    <w:basedOn w:val="Normal"/>
    <w:next w:val="Normal"/>
    <w:pPr>
      <w:keepNext w:val="1"/>
      <w:keepLines w:val="1"/>
      <w:spacing w:after="0" w:before="160" w:lineRule="auto"/>
      <w:contextualSpacing w:val="1"/>
    </w:pPr>
    <w:rPr>
      <w:rFonts w:ascii="Trebuchet MS" w:cs="Trebuchet MS" w:eastAsia="Trebuchet MS" w:hAnsi="Trebuchet MS"/>
      <w:color w:val="666666"/>
      <w:sz w:val="22"/>
      <w:szCs w:val="22"/>
      <w:u w:val="single"/>
    </w:rPr>
  </w:style>
  <w:style w:type="paragraph" w:styleId="Heading5">
    <w:name w:val="heading 5"/>
    <w:basedOn w:val="Normal"/>
    <w:next w:val="Normal"/>
    <w:pPr>
      <w:keepNext w:val="1"/>
      <w:keepLines w:val="1"/>
      <w:spacing w:after="0" w:before="160" w:lineRule="auto"/>
      <w:contextualSpacing w:val="1"/>
    </w:pPr>
    <w:rPr>
      <w:rFonts w:ascii="Trebuchet MS" w:cs="Trebuchet MS" w:eastAsia="Trebuchet MS" w:hAnsi="Trebuchet MS"/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0" w:before="160" w:lineRule="auto"/>
      <w:contextualSpacing w:val="1"/>
    </w:pPr>
    <w:rPr>
      <w:rFonts w:ascii="Trebuchet MS" w:cs="Trebuchet MS" w:eastAsia="Trebuchet MS" w:hAnsi="Trebuchet MS"/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0" w:before="0" w:lineRule="auto"/>
      <w:contextualSpacing w:val="1"/>
    </w:pPr>
    <w:rPr>
      <w:rFonts w:ascii="Trebuchet MS" w:cs="Trebuchet MS" w:eastAsia="Trebuchet MS" w:hAnsi="Trebuchet MS"/>
      <w:sz w:val="42"/>
      <w:szCs w:val="42"/>
    </w:rPr>
  </w:style>
  <w:style w:type="paragraph" w:styleId="Subtitle">
    <w:name w:val="Subtitle"/>
    <w:basedOn w:val="Normal"/>
    <w:next w:val="Normal"/>
    <w:pPr>
      <w:keepNext w:val="1"/>
      <w:keepLines w:val="1"/>
      <w:spacing w:after="200" w:before="0" w:lineRule="auto"/>
      <w:contextualSpacing w:val="1"/>
    </w:pPr>
    <w:rPr>
      <w:rFonts w:ascii="Trebuchet MS" w:cs="Trebuchet MS" w:eastAsia="Trebuchet MS" w:hAnsi="Trebuchet MS"/>
      <w:i w:val="1"/>
      <w:color w:val="666666"/>
      <w:sz w:val="26"/>
      <w:szCs w:val="26"/>
    </w:rPr>
  </w:style>
  <w:style w:type="table" w:styleId="Table1">
    <w:basedOn w:val="TableNormal"/>
    <w:tblPr>
      <w:tblStyleRowBandSize w:val="1"/>
      <w:tblStyleColBandSize w:val="1"/>
      <w:tblCellMar/>
    </w:tblPr>
    <w:tblStylePr w:type="band1Horz"/>
    <w:tblStylePr w:type="band1Vert"/>
    <w:tblStylePr w:type="band2Horz"/>
    <w:tblStylePr w:type="band2Vert"/>
    <w:tblStylePr w:type="firstCol"/>
    <w:tblStylePr w:type="firstRow"/>
    <w:tblStylePr w:type="lastCol"/>
    <w:tblStylePr w:type="lastRow"/>
    <w:tblStylePr w:type="neCell"/>
    <w:tblStylePr w:type="nwCell"/>
    <w:tblStylePr w:type="seCell"/>
    <w:tblStylePr w:type="swCell"/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settings" Target="settings.xml"/><Relationship Id="rId2" Type="http://schemas.openxmlformats.org/officeDocument/2006/relationships/fontTable" Target="fontTable.xml"/><Relationship Id="rId3" Type="http://schemas.openxmlformats.org/officeDocument/2006/relationships/numbering" Target="numbering.xml"/><Relationship Id="rId4" Type="http://schemas.openxmlformats.org/officeDocument/2006/relationships/styles" Target="styles.xml"/></Relationships>
</file>